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contextualSpacing w:val="0"/>
        <w:rPr/>
      </w:pPr>
      <w:r w:rsidDel="00000000" w:rsidR="00000000" w:rsidRPr="00000000">
        <w:rPr>
          <w:rtl w:val="0"/>
        </w:rPr>
        <w:t xml:space="preserve">Crear un fichero por lotes que reciba como parámetro el nombre de un directorio y visualice el siguiente menú.</w:t>
      </w:r>
    </w:p>
    <w:p w:rsidR="00000000" w:rsidDel="00000000" w:rsidP="00000000" w:rsidRDefault="00000000" w:rsidRPr="00000000" w14:paraId="0000000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Crear directorio en D: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Crear directorio en C: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Salir</w:t>
      </w:r>
    </w:p>
    <w:p w:rsidR="00000000" w:rsidDel="00000000" w:rsidP="00000000" w:rsidRDefault="00000000" w:rsidRPr="00000000" w14:paraId="00000004">
      <w:pPr>
        <w:contextualSpacing w:val="0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Y una vez elegida una opción cree un directorio en la unidad correspondiente comprobando todos los posibles errores.</w:t>
      </w:r>
    </w:p>
    <w:sectPr>
      <w:pgSz w:h="16838" w:w="11906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-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